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7" w:rsidRDefault="00412082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rPr>
          <w:rStyle w:val="af9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o:spid="_x0000_s1026" type="#_x0000_t75" style="position:absolute;margin-left:.3pt;margin-top:-.4pt;width:210pt;height:73.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FA4907" w:rsidRDefault="00412082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f9"/>
          <w:bCs/>
          <w:sz w:val="28"/>
          <w:szCs w:val="28"/>
        </w:rPr>
      </w:pPr>
      <w:r>
        <w:rPr>
          <w:rStyle w:val="af9"/>
          <w:b/>
          <w:bCs/>
          <w:sz w:val="28"/>
          <w:szCs w:val="28"/>
        </w:rPr>
        <w:t>04.06.2025</w:t>
      </w:r>
    </w:p>
    <w:p w:rsidR="00FA4907" w:rsidRDefault="00FA4907">
      <w:pPr>
        <w:tabs>
          <w:tab w:val="left" w:pos="4830"/>
        </w:tabs>
        <w:ind w:firstLine="709"/>
        <w:jc w:val="both"/>
        <w:rPr>
          <w:rStyle w:val="af9"/>
          <w:bCs/>
          <w:sz w:val="28"/>
          <w:szCs w:val="28"/>
          <w:shd w:val="clear" w:color="auto" w:fill="FFFFFF"/>
        </w:rPr>
      </w:pPr>
    </w:p>
    <w:p w:rsidR="00FA4907" w:rsidRDefault="00FA4907">
      <w:pPr>
        <w:tabs>
          <w:tab w:val="left" w:pos="4830"/>
        </w:tabs>
        <w:jc w:val="center"/>
        <w:rPr>
          <w:rStyle w:val="af9"/>
          <w:b/>
          <w:bCs/>
          <w:sz w:val="28"/>
          <w:szCs w:val="28"/>
          <w:shd w:val="clear" w:color="auto" w:fill="FFFFFF"/>
        </w:rPr>
      </w:pPr>
    </w:p>
    <w:p w:rsidR="00FA4907" w:rsidRDefault="00FA4907">
      <w:pPr>
        <w:tabs>
          <w:tab w:val="left" w:pos="4830"/>
        </w:tabs>
        <w:jc w:val="center"/>
        <w:rPr>
          <w:rStyle w:val="af9"/>
          <w:b/>
          <w:bCs/>
          <w:sz w:val="28"/>
          <w:szCs w:val="28"/>
          <w:shd w:val="clear" w:color="auto" w:fill="FFFFFF"/>
        </w:rPr>
      </w:pPr>
    </w:p>
    <w:p w:rsidR="00FA4907" w:rsidRDefault="00412082">
      <w:pPr>
        <w:tabs>
          <w:tab w:val="left" w:pos="4830"/>
        </w:tabs>
        <w:jc w:val="center"/>
        <w:rPr>
          <w:rStyle w:val="af9"/>
          <w:b/>
          <w:bCs/>
          <w:sz w:val="28"/>
          <w:szCs w:val="28"/>
          <w:shd w:val="clear" w:color="auto" w:fill="FFFFFF"/>
        </w:rPr>
      </w:pPr>
      <w:r>
        <w:rPr>
          <w:rStyle w:val="af9"/>
          <w:b/>
          <w:bCs/>
          <w:sz w:val="28"/>
          <w:szCs w:val="28"/>
          <w:shd w:val="clear" w:color="auto" w:fill="FFFFFF"/>
        </w:rPr>
        <w:t>Что нужно делать южноуральцам для целевого использования земельного участка и какие есть признаки неиспользования земли</w:t>
      </w:r>
    </w:p>
    <w:p w:rsidR="00FA4907" w:rsidRDefault="00FA4907">
      <w:pPr>
        <w:tabs>
          <w:tab w:val="left" w:pos="4830"/>
        </w:tabs>
        <w:ind w:firstLine="709"/>
        <w:jc w:val="both"/>
        <w:rPr>
          <w:rStyle w:val="af9"/>
          <w:bCs/>
          <w:sz w:val="28"/>
          <w:szCs w:val="28"/>
          <w:shd w:val="clear" w:color="auto" w:fill="FFFFFF"/>
        </w:rPr>
      </w:pPr>
    </w:p>
    <w:p w:rsidR="00FA4907" w:rsidRDefault="00412082">
      <w:pPr>
        <w:tabs>
          <w:tab w:val="left" w:pos="4830"/>
        </w:tabs>
        <w:ind w:firstLine="709"/>
        <w:jc w:val="both"/>
        <w:rPr>
          <w:rStyle w:val="af9"/>
          <w:b/>
          <w:bCs/>
          <w:sz w:val="28"/>
          <w:szCs w:val="28"/>
          <w:shd w:val="clear" w:color="auto" w:fill="FFFFFF"/>
        </w:rPr>
      </w:pPr>
      <w:r>
        <w:rPr>
          <w:rStyle w:val="af9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разъясняет, что нужно сделать южноуральцам, чтобы привести земельные участки, расположенные в границах населенных пунктов, садовых и огородных участков, в состояние, пригодное для их эксплуатации в соответствии </w:t>
      </w:r>
      <w:r>
        <w:rPr>
          <w:rStyle w:val="af9"/>
          <w:b/>
          <w:bCs/>
          <w:sz w:val="28"/>
          <w:szCs w:val="28"/>
          <w:shd w:val="clear" w:color="auto" w:fill="FFFFFF"/>
        </w:rPr>
        <w:t>с целевым назначением и разрешенным использованием.</w:t>
      </w:r>
    </w:p>
    <w:p w:rsidR="00FA4907" w:rsidRDefault="00FA4907">
      <w:pPr>
        <w:tabs>
          <w:tab w:val="left" w:pos="4830"/>
        </w:tabs>
        <w:ind w:firstLine="709"/>
        <w:jc w:val="both"/>
        <w:rPr>
          <w:rStyle w:val="af9"/>
          <w:b/>
          <w:bCs/>
          <w:sz w:val="28"/>
          <w:szCs w:val="28"/>
          <w:shd w:val="clear" w:color="auto" w:fill="FFFFFF"/>
        </w:rPr>
      </w:pPr>
    </w:p>
    <w:p w:rsidR="00FA4907" w:rsidRDefault="00412082">
      <w:pPr>
        <w:tabs>
          <w:tab w:val="left" w:pos="483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Постановлением Правительства РФ, которое вступит в силу уже 1 сентября текущего года, установлены признаки неиспользования земельных участков из состава земель населенных пунктов, садовых и огородных зем</w:t>
      </w:r>
      <w:r>
        <w:rPr>
          <w:rStyle w:val="af9"/>
          <w:bCs/>
          <w:sz w:val="28"/>
          <w:szCs w:val="28"/>
          <w:shd w:val="clear" w:color="auto" w:fill="FFFFFF"/>
        </w:rPr>
        <w:t>ельных участков. В частности, для таких участков признаком неиспользования является захламление или загрязнение отходами более половины их площади в течение года.</w:t>
      </w:r>
    </w:p>
    <w:p w:rsidR="00FA4907" w:rsidRDefault="00412082">
      <w:pPr>
        <w:tabs>
          <w:tab w:val="left" w:pos="483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Садовые, огородные и приусадебные земельные участки не должны быть заросшими сорными растения</w:t>
      </w:r>
      <w:r>
        <w:rPr>
          <w:rStyle w:val="af9"/>
          <w:bCs/>
          <w:sz w:val="28"/>
          <w:szCs w:val="28"/>
          <w:shd w:val="clear" w:color="auto" w:fill="FFFFFF"/>
        </w:rPr>
        <w:t>ми. Они будут считаться неиспользуемыми, если более чем половина их площади в течение года остается покрытой сорными растениями высотой более 1 метра, а также деревьями и кустарниками, которые не являются предметами благоустройства и озеленения.</w:t>
      </w:r>
    </w:p>
    <w:p w:rsidR="00FA4907" w:rsidRDefault="00412082">
      <w:pPr>
        <w:tabs>
          <w:tab w:val="left" w:pos="483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Для земель</w:t>
      </w:r>
      <w:r>
        <w:rPr>
          <w:rStyle w:val="af9"/>
          <w:bCs/>
          <w:sz w:val="28"/>
          <w:szCs w:val="28"/>
          <w:shd w:val="clear" w:color="auto" w:fill="FFFFFF"/>
        </w:rPr>
        <w:t>ных участков, предназначенных для строительства, таким признаком будет отсутствие построенного и оформленного здания, сооружения в течение 5 лет. При этом установлены случаи, когда такой срок может быть иным – например, если он указан в разрешении на строи</w:t>
      </w:r>
      <w:r>
        <w:rPr>
          <w:rStyle w:val="af9"/>
          <w:bCs/>
          <w:sz w:val="28"/>
          <w:szCs w:val="28"/>
          <w:shd w:val="clear" w:color="auto" w:fill="FFFFFF"/>
        </w:rPr>
        <w:t>тельство или решении о комплексном развитии территории.</w:t>
      </w:r>
    </w:p>
    <w:p w:rsidR="00FA4907" w:rsidRDefault="00412082">
      <w:pPr>
        <w:tabs>
          <w:tab w:val="left" w:pos="483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Для земельных участков, предназначенных для индивидуального жилищного строительства, введен аналогичный признак неиспользования. При этом срок для строительства индивидуального жилого дома и регистрац</w:t>
      </w:r>
      <w:r>
        <w:rPr>
          <w:rStyle w:val="af9"/>
          <w:bCs/>
          <w:sz w:val="28"/>
          <w:szCs w:val="28"/>
          <w:shd w:val="clear" w:color="auto" w:fill="FFFFFF"/>
        </w:rPr>
        <w:t>ии права на него увеличен до 7 лет.</w:t>
      </w:r>
    </w:p>
    <w:p w:rsidR="00FA4907" w:rsidRDefault="00412082">
      <w:pPr>
        <w:tabs>
          <w:tab w:val="left" w:pos="483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Если на земельном участке уже построены здание либо сооружение, то необходимо содержать их в надлежащем состоянии, не допускать разрушения крыши, стен, выпадения окон или стекол из окон. Это также будет свидетельствовать</w:t>
      </w:r>
      <w:r>
        <w:rPr>
          <w:rStyle w:val="af9"/>
          <w:bCs/>
          <w:sz w:val="28"/>
          <w:szCs w:val="28"/>
          <w:shd w:val="clear" w:color="auto" w:fill="FFFFFF"/>
        </w:rPr>
        <w:t xml:space="preserve"> о неиспользовании земельного участка.</w:t>
      </w:r>
    </w:p>
    <w:p w:rsidR="00FA4907" w:rsidRDefault="00412082">
      <w:pPr>
        <w:tabs>
          <w:tab w:val="left" w:pos="4830"/>
        </w:tabs>
        <w:ind w:firstLine="709"/>
        <w:jc w:val="both"/>
        <w:rPr>
          <w:rStyle w:val="af9"/>
          <w:bCs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 xml:space="preserve">Напоминаем, что срок освоения земельных участков составляет 3 года. </w:t>
      </w:r>
    </w:p>
    <w:p w:rsidR="00FA4907" w:rsidRDefault="00412082">
      <w:pPr>
        <w:tabs>
          <w:tab w:val="left" w:pos="483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Обязанность использовать земельные участки, расположенные в границах населенных пунктов, садовых и огородных участков, в соответствии с целевым назн</w:t>
      </w:r>
      <w:r>
        <w:rPr>
          <w:rStyle w:val="af9"/>
          <w:bCs/>
          <w:sz w:val="28"/>
          <w:szCs w:val="28"/>
          <w:shd w:val="clear" w:color="auto" w:fill="FFFFFF"/>
        </w:rPr>
        <w:t>ачением и разрешенным использованием, возникает у собственника с 01.03.2025 независимо от даты возникновения вещного права.</w:t>
      </w:r>
    </w:p>
    <w:p w:rsidR="00FA4907" w:rsidRDefault="00412082">
      <w:pPr>
        <w:tabs>
          <w:tab w:val="left" w:pos="4830"/>
        </w:tabs>
        <w:ind w:firstLine="709"/>
        <w:jc w:val="both"/>
        <w:rPr>
          <w:rStyle w:val="af9"/>
          <w:sz w:val="28"/>
          <w:szCs w:val="28"/>
          <w:shd w:val="clear" w:color="auto" w:fill="FFFFFF"/>
        </w:rPr>
      </w:pPr>
      <w:r>
        <w:rPr>
          <w:rStyle w:val="af9"/>
          <w:bCs/>
          <w:sz w:val="28"/>
          <w:szCs w:val="28"/>
          <w:shd w:val="clear" w:color="auto" w:fill="FFFFFF"/>
        </w:rPr>
        <w:t>Распоряжением Правительства РФ от 24.04.2025 №1021-р утвержден конкретный перечень мероприятий по приведению земельных участков в со</w:t>
      </w:r>
      <w:r>
        <w:rPr>
          <w:rStyle w:val="af9"/>
          <w:bCs/>
          <w:sz w:val="28"/>
          <w:szCs w:val="28"/>
          <w:shd w:val="clear" w:color="auto" w:fill="FFFFFF"/>
        </w:rPr>
        <w:t>стояние, пригодное для их использования по целевому назначению, среди них:</w:t>
      </w:r>
    </w:p>
    <w:p w:rsidR="00FA4907" w:rsidRDefault="0041208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Style w:val="af9"/>
          <w:rFonts w:ascii="Times New Roman" w:hAnsi="Times New Roman"/>
          <w:sz w:val="28"/>
          <w:szCs w:val="28"/>
        </w:rPr>
      </w:pP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t xml:space="preserve">освобождение земельного участка от деревьев, кустарников, сорных растений, предметов, несвязанных с его использованием и нахождение которых </w:t>
      </w: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привело к его захламлению, а также от отх</w:t>
      </w: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t>одов производства и потребления, в том числе твердых коммунальных отходов;</w:t>
      </w:r>
    </w:p>
    <w:p w:rsidR="00FA4907" w:rsidRDefault="0041208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t>осушение или увлажнение земельного участка;</w:t>
      </w:r>
    </w:p>
    <w:p w:rsidR="00FA4907" w:rsidRDefault="0041208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t>рекультивация земель;</w:t>
      </w:r>
    </w:p>
    <w:p w:rsidR="00FA4907" w:rsidRDefault="0041208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Style w:val="af9"/>
          <w:rFonts w:ascii="Times New Roman" w:hAnsi="Times New Roman"/>
          <w:sz w:val="28"/>
          <w:szCs w:val="28"/>
        </w:rPr>
      </w:pPr>
      <w:r>
        <w:rPr>
          <w:rStyle w:val="af9"/>
          <w:rFonts w:ascii="Times New Roman" w:hAnsi="Times New Roman"/>
          <w:bCs/>
          <w:sz w:val="28"/>
          <w:szCs w:val="28"/>
          <w:shd w:val="clear" w:color="auto" w:fill="FFFFFF"/>
        </w:rPr>
        <w:t>разработка грунта, уплотнение и укрепление грунта, вертикальная планировка участка, перемещение грунта, устройство насыпей, разработка выемок, снятие и хранение плодородного слоя почвы.</w:t>
      </w:r>
    </w:p>
    <w:p w:rsidR="00FA4907" w:rsidRDefault="00412082">
      <w:pPr>
        <w:tabs>
          <w:tab w:val="left" w:pos="4830"/>
        </w:tabs>
        <w:ind w:firstLine="709"/>
        <w:jc w:val="both"/>
        <w:rPr>
          <w:rStyle w:val="af9"/>
          <w:sz w:val="28"/>
          <w:szCs w:val="28"/>
        </w:rPr>
      </w:pPr>
      <w:r>
        <w:rPr>
          <w:rStyle w:val="af9"/>
          <w:bCs/>
          <w:sz w:val="28"/>
          <w:szCs w:val="28"/>
          <w:shd w:val="clear" w:color="auto" w:fill="FFFFFF"/>
        </w:rPr>
        <w:t>Правообладатели земельных участков по своему выбору должны выполнить о</w:t>
      </w:r>
      <w:r>
        <w:rPr>
          <w:rStyle w:val="af9"/>
          <w:bCs/>
          <w:sz w:val="28"/>
          <w:szCs w:val="28"/>
          <w:shd w:val="clear" w:color="auto" w:fill="FFFFFF"/>
        </w:rPr>
        <w:t>дно или несколько таких мероприятий для приведения земельных участков в состояние пригодное для использования.</w:t>
      </w:r>
    </w:p>
    <w:p w:rsidR="00FA4907" w:rsidRDefault="00FA4907">
      <w:pPr>
        <w:tabs>
          <w:tab w:val="left" w:pos="4830"/>
        </w:tabs>
        <w:ind w:firstLine="709"/>
        <w:jc w:val="both"/>
        <w:rPr>
          <w:rStyle w:val="af9"/>
          <w:sz w:val="28"/>
          <w:szCs w:val="28"/>
        </w:rPr>
      </w:pPr>
    </w:p>
    <w:p w:rsidR="00FA4907" w:rsidRDefault="00412082">
      <w:pPr>
        <w:tabs>
          <w:tab w:val="left" w:pos="4830"/>
        </w:tabs>
        <w:ind w:firstLine="709"/>
        <w:jc w:val="right"/>
        <w:rPr>
          <w:rStyle w:val="af9"/>
          <w:b/>
          <w:bCs/>
          <w:sz w:val="28"/>
          <w:szCs w:val="28"/>
          <w:shd w:val="clear" w:color="auto" w:fill="FFFFFF"/>
        </w:rPr>
      </w:pPr>
      <w:r>
        <w:rPr>
          <w:rStyle w:val="af9"/>
          <w:b/>
          <w:bCs/>
          <w:sz w:val="28"/>
          <w:szCs w:val="28"/>
          <w:shd w:val="clear" w:color="auto" w:fill="FFFFFF"/>
        </w:rPr>
        <w:t>Материал подготовлен пресс-службой</w:t>
      </w:r>
    </w:p>
    <w:p w:rsidR="00FA4907" w:rsidRDefault="00412082">
      <w:pPr>
        <w:jc w:val="right"/>
        <w:rPr>
          <w:rStyle w:val="af9"/>
          <w:b/>
          <w:bCs/>
          <w:sz w:val="28"/>
          <w:szCs w:val="28"/>
          <w:shd w:val="clear" w:color="auto" w:fill="FFFFFF"/>
        </w:rPr>
      </w:pPr>
      <w:r>
        <w:rPr>
          <w:rStyle w:val="af9"/>
          <w:b/>
          <w:bCs/>
          <w:sz w:val="28"/>
          <w:szCs w:val="28"/>
          <w:shd w:val="clear" w:color="auto" w:fill="FFFFFF"/>
        </w:rPr>
        <w:t>Росреестра и Роскадастра по Челябинской области</w:t>
      </w:r>
    </w:p>
    <w:p w:rsidR="00966E1E" w:rsidRDefault="00966E1E">
      <w:pPr>
        <w:jc w:val="right"/>
        <w:rPr>
          <w:rStyle w:val="af9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966E1E" w:rsidRDefault="00966E1E">
      <w:pPr>
        <w:jc w:val="right"/>
        <w:rPr>
          <w:rStyle w:val="af9"/>
          <w:b/>
          <w:bCs/>
          <w:sz w:val="28"/>
          <w:szCs w:val="28"/>
          <w:shd w:val="clear" w:color="auto" w:fill="FFFFFF"/>
        </w:rPr>
      </w:pPr>
      <w:r>
        <w:rPr>
          <w:rStyle w:val="af9"/>
          <w:b/>
          <w:bCs/>
          <w:sz w:val="28"/>
          <w:szCs w:val="28"/>
          <w:shd w:val="clear" w:color="auto" w:fill="FFFFFF"/>
        </w:rPr>
        <w:pict>
          <v:shape id="_x0000_i1025" type="#_x0000_t75" style="width:509.25pt;height:510.75pt">
            <v:imagedata r:id="rId8" o:title="Целевое использование_04.06.2025"/>
          </v:shape>
        </w:pict>
      </w:r>
    </w:p>
    <w:sectPr w:rsidR="00966E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82" w:rsidRDefault="00412082">
      <w:r>
        <w:separator/>
      </w:r>
    </w:p>
  </w:endnote>
  <w:endnote w:type="continuationSeparator" w:id="0">
    <w:p w:rsidR="00412082" w:rsidRDefault="0041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PT Astra Serif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Golos">
    <w:charset w:val="00"/>
    <w:family w:val="auto"/>
    <w:pitch w:val="default"/>
  </w:font>
  <w:font w:name="Source Han Sans CN Regular">
    <w:charset w:val="00"/>
    <w:family w:val="auto"/>
    <w:pitch w:val="default"/>
  </w:font>
  <w:font w:name="Liberation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7" w:rsidRDefault="00FA4907">
    <w:pPr>
      <w:pStyle w:val="aff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7" w:rsidRDefault="00FA49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82" w:rsidRDefault="00412082">
      <w:r>
        <w:separator/>
      </w:r>
    </w:p>
  </w:footnote>
  <w:footnote w:type="continuationSeparator" w:id="0">
    <w:p w:rsidR="00412082" w:rsidRDefault="0041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7" w:rsidRDefault="00FA4907">
    <w:pPr>
      <w:pStyle w:val="aff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7" w:rsidRDefault="00FA49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2CA"/>
    <w:multiLevelType w:val="hybridMultilevel"/>
    <w:tmpl w:val="57CA3540"/>
    <w:lvl w:ilvl="0" w:tplc="CD90C1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64B1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16610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658C92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49446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BDC3FB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4CA85B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3DA3A8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B5C6E0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DC5DF0"/>
    <w:multiLevelType w:val="hybridMultilevel"/>
    <w:tmpl w:val="086A39FC"/>
    <w:lvl w:ilvl="0" w:tplc="C6DC76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70809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7B42E3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1E8E5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36849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97AD69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3E815C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C762F5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E34E30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B683B3E"/>
    <w:multiLevelType w:val="hybridMultilevel"/>
    <w:tmpl w:val="01B82AA6"/>
    <w:lvl w:ilvl="0" w:tplc="CB10985C">
      <w:start w:val="1"/>
      <w:numFmt w:val="decimal"/>
      <w:lvlText w:val="%1."/>
      <w:lvlJc w:val="left"/>
      <w:pPr>
        <w:ind w:left="1080" w:hanging="360"/>
      </w:pPr>
    </w:lvl>
    <w:lvl w:ilvl="1" w:tplc="80DCF1E8">
      <w:start w:val="1"/>
      <w:numFmt w:val="lowerLetter"/>
      <w:lvlText w:val="%2."/>
      <w:lvlJc w:val="left"/>
      <w:pPr>
        <w:ind w:left="1800" w:hanging="360"/>
      </w:pPr>
    </w:lvl>
    <w:lvl w:ilvl="2" w:tplc="E0F6C3F8">
      <w:start w:val="1"/>
      <w:numFmt w:val="lowerRoman"/>
      <w:lvlText w:val="%3."/>
      <w:lvlJc w:val="right"/>
      <w:pPr>
        <w:ind w:left="2520" w:hanging="180"/>
      </w:pPr>
    </w:lvl>
    <w:lvl w:ilvl="3" w:tplc="9A262532">
      <w:start w:val="1"/>
      <w:numFmt w:val="decimal"/>
      <w:lvlText w:val="%4."/>
      <w:lvlJc w:val="left"/>
      <w:pPr>
        <w:ind w:left="3240" w:hanging="360"/>
      </w:pPr>
    </w:lvl>
    <w:lvl w:ilvl="4" w:tplc="359067CE">
      <w:start w:val="1"/>
      <w:numFmt w:val="lowerLetter"/>
      <w:lvlText w:val="%5."/>
      <w:lvlJc w:val="left"/>
      <w:pPr>
        <w:ind w:left="3960" w:hanging="360"/>
      </w:pPr>
    </w:lvl>
    <w:lvl w:ilvl="5" w:tplc="AE988538">
      <w:start w:val="1"/>
      <w:numFmt w:val="lowerRoman"/>
      <w:lvlText w:val="%6."/>
      <w:lvlJc w:val="right"/>
      <w:pPr>
        <w:ind w:left="4680" w:hanging="180"/>
      </w:pPr>
    </w:lvl>
    <w:lvl w:ilvl="6" w:tplc="550ABD5C">
      <w:start w:val="1"/>
      <w:numFmt w:val="decimal"/>
      <w:lvlText w:val="%7."/>
      <w:lvlJc w:val="left"/>
      <w:pPr>
        <w:ind w:left="5400" w:hanging="360"/>
      </w:pPr>
    </w:lvl>
    <w:lvl w:ilvl="7" w:tplc="03E85374">
      <w:start w:val="1"/>
      <w:numFmt w:val="lowerLetter"/>
      <w:lvlText w:val="%8."/>
      <w:lvlJc w:val="left"/>
      <w:pPr>
        <w:ind w:left="6120" w:hanging="360"/>
      </w:pPr>
    </w:lvl>
    <w:lvl w:ilvl="8" w:tplc="05003AF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F7BDE"/>
    <w:multiLevelType w:val="hybridMultilevel"/>
    <w:tmpl w:val="A9A81F08"/>
    <w:lvl w:ilvl="0" w:tplc="F29CD0E2">
      <w:start w:val="1"/>
      <w:numFmt w:val="decimal"/>
      <w:lvlText w:val="%1."/>
      <w:lvlJc w:val="left"/>
      <w:pPr>
        <w:ind w:left="1069" w:hanging="360"/>
      </w:pPr>
    </w:lvl>
    <w:lvl w:ilvl="1" w:tplc="F7D67F90">
      <w:start w:val="1"/>
      <w:numFmt w:val="lowerLetter"/>
      <w:lvlText w:val="%2."/>
      <w:lvlJc w:val="left"/>
      <w:pPr>
        <w:ind w:left="1789" w:hanging="360"/>
      </w:pPr>
    </w:lvl>
    <w:lvl w:ilvl="2" w:tplc="290C2936">
      <w:start w:val="1"/>
      <w:numFmt w:val="lowerRoman"/>
      <w:lvlText w:val="%3."/>
      <w:lvlJc w:val="right"/>
      <w:pPr>
        <w:ind w:left="2509" w:hanging="180"/>
      </w:pPr>
    </w:lvl>
    <w:lvl w:ilvl="3" w:tplc="87FC4554">
      <w:start w:val="1"/>
      <w:numFmt w:val="decimal"/>
      <w:lvlText w:val="%4."/>
      <w:lvlJc w:val="left"/>
      <w:pPr>
        <w:ind w:left="3229" w:hanging="360"/>
      </w:pPr>
    </w:lvl>
    <w:lvl w:ilvl="4" w:tplc="22462E60">
      <w:start w:val="1"/>
      <w:numFmt w:val="lowerLetter"/>
      <w:lvlText w:val="%5."/>
      <w:lvlJc w:val="left"/>
      <w:pPr>
        <w:ind w:left="3949" w:hanging="360"/>
      </w:pPr>
    </w:lvl>
    <w:lvl w:ilvl="5" w:tplc="8E6E7FC4">
      <w:start w:val="1"/>
      <w:numFmt w:val="lowerRoman"/>
      <w:lvlText w:val="%6."/>
      <w:lvlJc w:val="right"/>
      <w:pPr>
        <w:ind w:left="4669" w:hanging="180"/>
      </w:pPr>
    </w:lvl>
    <w:lvl w:ilvl="6" w:tplc="E4788418">
      <w:start w:val="1"/>
      <w:numFmt w:val="decimal"/>
      <w:lvlText w:val="%7."/>
      <w:lvlJc w:val="left"/>
      <w:pPr>
        <w:ind w:left="5389" w:hanging="360"/>
      </w:pPr>
    </w:lvl>
    <w:lvl w:ilvl="7" w:tplc="2040A788">
      <w:start w:val="1"/>
      <w:numFmt w:val="lowerLetter"/>
      <w:lvlText w:val="%8."/>
      <w:lvlJc w:val="left"/>
      <w:pPr>
        <w:ind w:left="6109" w:hanging="360"/>
      </w:pPr>
    </w:lvl>
    <w:lvl w:ilvl="8" w:tplc="98E4D6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9C3ED8"/>
    <w:multiLevelType w:val="hybridMultilevel"/>
    <w:tmpl w:val="38AA2C2E"/>
    <w:lvl w:ilvl="0" w:tplc="F88A8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1A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9024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02E1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4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24C8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4E02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D6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280D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DC49B5"/>
    <w:multiLevelType w:val="hybridMultilevel"/>
    <w:tmpl w:val="CCE28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56163"/>
    <w:multiLevelType w:val="hybridMultilevel"/>
    <w:tmpl w:val="C096ED42"/>
    <w:lvl w:ilvl="0" w:tplc="3DB471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112B3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E4E8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CFAA8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4D4F0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3006C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B0896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8E208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6E68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8094062"/>
    <w:multiLevelType w:val="hybridMultilevel"/>
    <w:tmpl w:val="4BE03BC4"/>
    <w:lvl w:ilvl="0" w:tplc="BECAE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A69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CF405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76CE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B8F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62B2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02CF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60A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2C8D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B012493"/>
    <w:multiLevelType w:val="hybridMultilevel"/>
    <w:tmpl w:val="86365804"/>
    <w:lvl w:ilvl="0" w:tplc="1B4A6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4E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649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B42E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58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6AB1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2E1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00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CC16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D22603C"/>
    <w:multiLevelType w:val="hybridMultilevel"/>
    <w:tmpl w:val="58542612"/>
    <w:lvl w:ilvl="0" w:tplc="0966FD74">
      <w:start w:val="1"/>
      <w:numFmt w:val="decimal"/>
      <w:lvlText w:val="%1."/>
      <w:lvlJc w:val="left"/>
      <w:pPr>
        <w:ind w:left="1440" w:hanging="360"/>
      </w:pPr>
    </w:lvl>
    <w:lvl w:ilvl="1" w:tplc="0A7206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E24868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1C293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C646B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9E21FB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E4CE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CB006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09C5BC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907"/>
    <w:rsid w:val="00412082"/>
    <w:rsid w:val="00966E1E"/>
    <w:rsid w:val="00F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633BB"/>
  <w15:docId w15:val="{373511C4-5E4D-4DB1-8884-CDFA510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suppressLineNumbers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12"/>
    <w:rPr>
      <w:sz w:val="20"/>
      <w:szCs w:val="20"/>
      <w:lang w:val="en-US"/>
    </w:rPr>
  </w:style>
  <w:style w:type="character" w:customStyle="1" w:styleId="12">
    <w:name w:val="Текст концевой сноски Знак1"/>
    <w:link w:val="af5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30">
    <w:name w:val="Основной шрифт абзаца13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20">
    <w:name w:val="Основной шрифт абзаца1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10">
    <w:name w:val="Основной шрифт абзаца11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Times New Roman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Times New Roman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Times New Roman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9">
    <w:name w:val="Нет"/>
  </w:style>
  <w:style w:type="character" w:styleId="afa">
    <w:name w:val="Emphasis"/>
    <w:uiPriority w:val="20"/>
    <w:qFormat/>
    <w:rPr>
      <w:i/>
      <w:iCs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afb">
    <w:name w:val="Strong"/>
    <w:uiPriority w:val="22"/>
    <w:qFormat/>
    <w:rPr>
      <w:b/>
      <w:bCs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rPr>
      <w:rFonts w:eastAsia="Arial Unicode MS" w:cs="Arial Unicode MS"/>
      <w:color w:val="000000"/>
      <w:lang w:eastAsia="zh-CN"/>
    </w:rPr>
  </w:style>
  <w:style w:type="character" w:customStyle="1" w:styleId="afd">
    <w:name w:val="Тема примечания Знак"/>
    <w:rPr>
      <w:rFonts w:eastAsia="Arial Unicode MS" w:cs="Arial Unicode MS"/>
      <w:b/>
      <w:bCs/>
      <w:color w:val="000000"/>
      <w:lang w:eastAsia="zh-CN"/>
    </w:rPr>
  </w:style>
  <w:style w:type="character" w:customStyle="1" w:styleId="afe">
    <w:name w:val="Текст выноски Знак"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16">
    <w:name w:val="Текст примечания Знак1"/>
    <w:rPr>
      <w:rFonts w:eastAsia="Arial Unicode MS" w:cs="Arial Unicode MS"/>
      <w:color w:val="000000"/>
      <w:lang w:eastAsia="zh-CN"/>
    </w:rPr>
  </w:style>
  <w:style w:type="character" w:customStyle="1" w:styleId="articlelayerheaderdatepublished">
    <w:name w:val="article_layer__header_date_published"/>
  </w:style>
  <w:style w:type="character" w:customStyle="1" w:styleId="articlelayerstatbtn">
    <w:name w:val="article_layer__stat_btn"/>
  </w:style>
  <w:style w:type="character" w:customStyle="1" w:styleId="54">
    <w:name w:val="Основной текст (5)"/>
    <w:rPr>
      <w:rFonts w:ascii="Times New Roman" w:hAnsi="Times New Roman" w:cs="Times New Roman"/>
      <w:spacing w:val="0"/>
      <w:sz w:val="27"/>
      <w:szCs w:val="27"/>
    </w:rPr>
  </w:style>
  <w:style w:type="character" w:customStyle="1" w:styleId="aff">
    <w:name w:val="Текст концевой сноски Знак"/>
    <w:rPr>
      <w:rFonts w:eastAsia="Arial Unicode MS" w:cs="Arial Unicode MS"/>
      <w:color w:val="000000"/>
      <w:lang w:eastAsia="zh-CN"/>
    </w:rPr>
  </w:style>
  <w:style w:type="character" w:customStyle="1" w:styleId="aff0">
    <w:name w:val="Символ концевой сноски"/>
    <w:rPr>
      <w:vertAlign w:val="superscript"/>
    </w:rPr>
  </w:style>
  <w:style w:type="paragraph" w:customStyle="1" w:styleId="17">
    <w:name w:val="Заголовок1"/>
    <w:basedOn w:val="a"/>
    <w:next w:val="aff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1">
    <w:name w:val="Body Text"/>
    <w:pPr>
      <w:spacing w:after="140" w:line="288" w:lineRule="auto"/>
    </w:pPr>
    <w:rPr>
      <w:color w:val="000000"/>
      <w:sz w:val="24"/>
      <w:szCs w:val="24"/>
      <w:lang w:eastAsia="zh-CN"/>
    </w:rPr>
  </w:style>
  <w:style w:type="paragraph" w:styleId="aff2">
    <w:name w:val="List"/>
    <w:basedOn w:val="aff1"/>
    <w:rPr>
      <w:rFonts w:ascii="PT Sans" w:hAnsi="PT Sans" w:cs="Noto Sans Devanagari"/>
    </w:rPr>
  </w:style>
  <w:style w:type="paragraph" w:customStyle="1" w:styleId="131">
    <w:name w:val="Указатель13"/>
    <w:basedOn w:val="a"/>
    <w:pPr>
      <w:suppressLineNumbers/>
    </w:pPr>
    <w:rPr>
      <w:rFonts w:cs="Mangal"/>
      <w:lang w:val="en-US" w:eastAsia="en-US" w:bidi="en-US"/>
    </w:rPr>
  </w:style>
  <w:style w:type="paragraph" w:customStyle="1" w:styleId="121">
    <w:name w:val="Название объекта12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22">
    <w:name w:val="Указатель12"/>
    <w:basedOn w:val="a"/>
    <w:pPr>
      <w:suppressLineNumbers/>
    </w:pPr>
    <w:rPr>
      <w:rFonts w:ascii="PT Sans" w:hAnsi="PT Sans" w:cs="Noto Sans Devanagari"/>
    </w:rPr>
  </w:style>
  <w:style w:type="paragraph" w:customStyle="1" w:styleId="111">
    <w:name w:val="Название объекта1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2">
    <w:name w:val="Указатель1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93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4">
    <w:name w:val="Указатель9"/>
    <w:basedOn w:val="a"/>
    <w:pPr>
      <w:suppressLineNumbers/>
    </w:pPr>
    <w:rPr>
      <w:rFonts w:cs="Lucida Sans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84">
    <w:name w:val="Указатель8"/>
    <w:basedOn w:val="a"/>
    <w:pPr>
      <w:suppressLineNumbers/>
    </w:pPr>
    <w:rPr>
      <w:rFonts w:cs="Ari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74">
    <w:name w:val="Указатель7"/>
    <w:basedOn w:val="a"/>
    <w:pPr>
      <w:suppressLineNumbers/>
    </w:pPr>
    <w:rPr>
      <w:rFonts w:cs="Lucida Sans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4">
    <w:name w:val="Указатель6"/>
    <w:basedOn w:val="a"/>
    <w:pPr>
      <w:suppressLineNumbers/>
    </w:pPr>
    <w:rPr>
      <w:rFonts w:cs="Lucida Sans"/>
    </w:rPr>
  </w:style>
  <w:style w:type="paragraph" w:customStyle="1" w:styleId="55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6">
    <w:name w:val="Указатель5"/>
    <w:basedOn w:val="a"/>
    <w:pPr>
      <w:suppressLineNumbers/>
    </w:pPr>
    <w:rPr>
      <w:rFonts w:cs="Lucida Sans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5">
    <w:name w:val="Указатель4"/>
    <w:basedOn w:val="a"/>
    <w:pPr>
      <w:suppressLineNumbers/>
    </w:pPr>
    <w:rPr>
      <w:rFonts w:cs="Lucida Sans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Lucida Sans"/>
    </w:rPr>
  </w:style>
  <w:style w:type="paragraph" w:customStyle="1" w:styleId="28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Lucida Sans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9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aff3">
    <w:name w:val="Верхн./нижн. кол.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a">
    <w:name w:val="Обычный (веб)1"/>
    <w:pPr>
      <w:spacing w:after="96" w:line="252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pPr>
      <w:spacing w:before="100" w:after="142" w:line="288" w:lineRule="auto"/>
    </w:pPr>
    <w:rPr>
      <w:color w:val="00000A"/>
    </w:rPr>
  </w:style>
  <w:style w:type="paragraph" w:customStyle="1" w:styleId="1b">
    <w:name w:val="Текст примечания1"/>
    <w:basedOn w:val="a"/>
    <w:rPr>
      <w:sz w:val="20"/>
      <w:szCs w:val="20"/>
      <w:lang w:val="en-US"/>
    </w:rPr>
  </w:style>
  <w:style w:type="paragraph" w:styleId="aff6">
    <w:name w:val="annotation subject"/>
    <w:basedOn w:val="1b"/>
    <w:next w:val="1b"/>
    <w:rPr>
      <w:b/>
      <w:bCs/>
    </w:rPr>
  </w:style>
  <w:style w:type="paragraph" w:styleId="aff7">
    <w:name w:val="Balloon Text"/>
    <w:basedOn w:val="a"/>
    <w:rPr>
      <w:rFonts w:ascii="Segoe UI" w:hAnsi="Segoe UI"/>
      <w:sz w:val="18"/>
      <w:szCs w:val="18"/>
      <w:lang w:val="en-US"/>
    </w:rPr>
  </w:style>
  <w:style w:type="paragraph" w:customStyle="1" w:styleId="1c">
    <w:name w:val="Без интервала1"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Pr>
      <w:rFonts w:ascii="Golos" w:hAnsi="Golos" w:cs="Golos"/>
      <w:color w:val="000000"/>
      <w:sz w:val="24"/>
      <w:szCs w:val="24"/>
      <w:lang w:eastAsia="zh-CN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jc w:val="both"/>
    </w:pPr>
    <w:rPr>
      <w:rFonts w:ascii="PT Astra Serif" w:eastAsia="Source Han Sans CN Regular" w:hAnsi="PT Astra Serif" w:cs="PT Astra Serif"/>
      <w:sz w:val="28"/>
      <w:szCs w:val="24"/>
    </w:rPr>
  </w:style>
  <w:style w:type="paragraph" w:styleId="aff8">
    <w:name w:val="Normal (Web)"/>
    <w:basedOn w:val="a"/>
    <w:uiPriority w:val="99"/>
    <w:pPr>
      <w:spacing w:before="100" w:after="100"/>
    </w:pPr>
    <w:rPr>
      <w:color w:val="000000"/>
    </w:rPr>
  </w:style>
  <w:style w:type="paragraph" w:customStyle="1" w:styleId="2a">
    <w:name w:val="Текст примечания2"/>
    <w:basedOn w:val="a"/>
    <w:rPr>
      <w:sz w:val="20"/>
      <w:szCs w:val="20"/>
      <w:lang w:val="en-US"/>
    </w:rPr>
  </w:style>
  <w:style w:type="paragraph" w:customStyle="1" w:styleId="aff9">
    <w:name w:val="Содержимое таблицы"/>
    <w:basedOn w:val="a"/>
    <w:pPr>
      <w:widowControl w:val="0"/>
      <w:suppressLineNumbers/>
    </w:pPr>
    <w:rPr>
      <w:rFonts w:ascii="Liberation Serif" w:hAnsi="Liberation Serif" w:cs="Mangal"/>
      <w:color w:val="00000A"/>
      <w:lang w:bidi="hi-I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color w:val="000000"/>
      <w:sz w:val="16"/>
      <w:szCs w:val="16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Наталья Анатольевна Моржова</cp:lastModifiedBy>
  <cp:revision>108</cp:revision>
  <cp:lastPrinted>2025-06-04T07:09:00Z</cp:lastPrinted>
  <dcterms:created xsi:type="dcterms:W3CDTF">2024-08-16T10:03:00Z</dcterms:created>
  <dcterms:modified xsi:type="dcterms:W3CDTF">2025-06-26T06:40:00Z</dcterms:modified>
  <cp:version>983040</cp:version>
</cp:coreProperties>
</file>